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D3" w:rsidRDefault="00D42ED3" w:rsidP="00D42ED3">
      <w:pPr>
        <w:jc w:val="both"/>
        <w:rPr>
          <w:rFonts w:ascii="標楷體" w:eastAsia="標楷體" w:hAnsi="標楷體"/>
        </w:rPr>
      </w:pPr>
    </w:p>
    <w:p w:rsidR="00D42ED3" w:rsidRDefault="00D42ED3" w:rsidP="00D42ED3">
      <w:pPr>
        <w:jc w:val="both"/>
        <w:rPr>
          <w:rFonts w:ascii="標楷體" w:eastAsia="標楷體" w:hAnsi="標楷體"/>
          <w:b/>
        </w:rPr>
      </w:pPr>
      <w:r w:rsidRPr="00BD5D36">
        <w:rPr>
          <w:rFonts w:ascii="標楷體" w:eastAsia="標楷體" w:hAnsi="標楷體" w:hint="eastAsia"/>
        </w:rPr>
        <w:t>課程規劃綱要</w:t>
      </w:r>
    </w:p>
    <w:p w:rsidR="00D42ED3" w:rsidRPr="004B4E3C" w:rsidRDefault="00D42ED3" w:rsidP="00D42ED3">
      <w:pPr>
        <w:jc w:val="both"/>
        <w:rPr>
          <w:rFonts w:ascii="標楷體" w:eastAsia="標楷體" w:hAnsi="標楷體"/>
        </w:rPr>
      </w:pPr>
      <w:r w:rsidRPr="004B4E3C">
        <w:rPr>
          <w:rFonts w:ascii="標楷體" w:eastAsia="標楷體" w:hAnsi="標楷體" w:hint="eastAsia"/>
        </w:rPr>
        <w:t>課程名稱：</w:t>
      </w:r>
      <w:r w:rsidRPr="00BD5D36">
        <w:rPr>
          <w:rFonts w:ascii="標楷體" w:eastAsia="標楷體" w:hAnsi="標楷體" w:cs="Arial" w:hint="eastAsia"/>
          <w:bCs/>
          <w:kern w:val="0"/>
        </w:rPr>
        <w:t>生涯規劃彈、途、漁之「識」者生存</w:t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 w:hint="eastAsia"/>
        </w:rPr>
        <w:tab/>
      </w:r>
      <w:r w:rsidRPr="004B4E3C">
        <w:rPr>
          <w:rFonts w:ascii="標楷體" w:eastAsia="標楷體" w:hAnsi="標楷體"/>
        </w:rPr>
        <w:t xml:space="preserve">                                                  </w:t>
      </w:r>
    </w:p>
    <w:p w:rsidR="00D42ED3" w:rsidRDefault="00D42ED3" w:rsidP="00D42ED3">
      <w:pPr>
        <w:jc w:val="both"/>
        <w:rPr>
          <w:rFonts w:ascii="標楷體" w:eastAsia="標楷體" w:hAnsi="標楷體"/>
        </w:rPr>
      </w:pPr>
      <w:r w:rsidRPr="004B4E3C">
        <w:rPr>
          <w:rFonts w:ascii="標楷體" w:eastAsia="標楷體" w:hAnsi="標楷體" w:hint="eastAsia"/>
        </w:rPr>
        <w:t>學校與班別：</w:t>
      </w:r>
      <w:r w:rsidRPr="004B4E3C">
        <w:rPr>
          <w:rFonts w:ascii="標楷體" w:eastAsia="標楷體" w:hAnsi="標楷體" w:hint="eastAsia"/>
          <w:lang w:eastAsia="zh-HK"/>
        </w:rPr>
        <w:t xml:space="preserve">___________ </w:t>
      </w:r>
      <w:r w:rsidRPr="004B4E3C">
        <w:rPr>
          <w:rFonts w:ascii="標楷體" w:eastAsia="標楷體" w:hAnsi="標楷體" w:hint="eastAsia"/>
        </w:rPr>
        <w:t xml:space="preserve">中四及中五         </w:t>
      </w:r>
      <w:bookmarkStart w:id="0" w:name="_GoBack"/>
      <w:bookmarkEnd w:id="0"/>
      <w:r w:rsidRPr="004B4E3C">
        <w:rPr>
          <w:rFonts w:ascii="標楷體" w:eastAsia="標楷體" w:hAnsi="標楷體" w:hint="eastAsia"/>
        </w:rPr>
        <w:t xml:space="preserve">                             適用範疇：通識教育、學生輔導、班主任課、綜合課等</w:t>
      </w:r>
    </w:p>
    <w:p w:rsidR="00D42ED3" w:rsidRPr="004B4E3C" w:rsidRDefault="00D42ED3" w:rsidP="00D42ED3">
      <w:pPr>
        <w:jc w:val="both"/>
        <w:rPr>
          <w:rFonts w:ascii="標楷體" w:eastAsia="標楷體" w:hAnsi="標楷體"/>
          <w:lang w:eastAsia="zh-HK"/>
        </w:rPr>
      </w:pPr>
    </w:p>
    <w:tbl>
      <w:tblPr>
        <w:tblW w:w="1464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  <w:gridCol w:w="5820"/>
        <w:gridCol w:w="8"/>
      </w:tblGrid>
      <w:tr w:rsidR="00D42ED3" w:rsidRPr="004B4E3C" w:rsidTr="003F5815">
        <w:trPr>
          <w:gridAfter w:val="1"/>
          <w:wAfter w:w="8" w:type="dxa"/>
          <w:trHeight w:val="430"/>
        </w:trPr>
        <w:tc>
          <w:tcPr>
            <w:tcW w:w="8820" w:type="dxa"/>
            <w:vAlign w:val="center"/>
          </w:tcPr>
          <w:p w:rsidR="00D42ED3" w:rsidRPr="00F6240E" w:rsidRDefault="00D42ED3" w:rsidP="003F58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6240E">
              <w:rPr>
                <w:rFonts w:ascii="標楷體" w:eastAsia="標楷體" w:hAnsi="標楷體" w:hint="eastAsia"/>
                <w:b/>
                <w:color w:val="FF0000"/>
              </w:rPr>
              <w:t>課程規劃概念圖</w:t>
            </w:r>
          </w:p>
        </w:tc>
        <w:tc>
          <w:tcPr>
            <w:tcW w:w="5820" w:type="dxa"/>
            <w:vAlign w:val="center"/>
          </w:tcPr>
          <w:p w:rsidR="00D42ED3" w:rsidRPr="00F6240E" w:rsidRDefault="00D42ED3" w:rsidP="003F58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6240E">
              <w:rPr>
                <w:rFonts w:ascii="標楷體" w:eastAsia="標楷體" w:hAnsi="標楷體" w:hint="eastAsia"/>
                <w:b/>
                <w:color w:val="FF0000"/>
              </w:rPr>
              <w:t>導引問題</w:t>
            </w:r>
          </w:p>
        </w:tc>
      </w:tr>
      <w:tr w:rsidR="00D42ED3" w:rsidRPr="004B4E3C" w:rsidTr="003F58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2"/>
        </w:trPr>
        <w:tc>
          <w:tcPr>
            <w:tcW w:w="8820" w:type="dxa"/>
            <w:vAlign w:val="center"/>
          </w:tcPr>
          <w:p w:rsidR="00D42ED3" w:rsidRPr="004B4E3C" w:rsidRDefault="00D42ED3" w:rsidP="003F5815">
            <w:pPr>
              <w:jc w:val="both"/>
              <w:rPr>
                <w:rFonts w:ascii="標楷體" w:eastAsia="標楷體" w:hAnsi="標楷體"/>
              </w:rPr>
            </w:pPr>
            <w:r w:rsidRPr="004B4E3C">
              <w:rPr>
                <w:rFonts w:ascii="標楷體" w:eastAsia="標楷體" w:hAnsi="標楷體"/>
                <w:noProof/>
                <w:lang w:eastAsia="zh-CN"/>
              </w:rPr>
              <w:drawing>
                <wp:inline distT="0" distB="0" distL="0" distR="0" wp14:anchorId="38A794D3" wp14:editId="10052C03">
                  <wp:extent cx="5562600" cy="4400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" t="3896" r="2600" b="3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8" w:type="dxa"/>
            <w:gridSpan w:val="2"/>
            <w:vAlign w:val="center"/>
          </w:tcPr>
          <w:p w:rsidR="00D42ED3" w:rsidRPr="004B4E3C" w:rsidRDefault="00D42ED3" w:rsidP="00D42ED3">
            <w:pPr>
              <w:numPr>
                <w:ilvl w:val="0"/>
                <w:numId w:val="1"/>
              </w:numPr>
              <w:contextualSpacing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 w:rsidRPr="004B4E3C">
              <w:rPr>
                <w:rFonts w:ascii="標楷體" w:eastAsia="標楷體" w:hAnsi="標楷體" w:cs="Arial" w:hint="eastAsia"/>
                <w:kern w:val="0"/>
              </w:rPr>
              <w:t>個人有何</w:t>
            </w:r>
            <w:r w:rsidRPr="004B4E3C">
              <w:rPr>
                <w:rFonts w:ascii="標楷體" w:eastAsia="標楷體" w:hAnsi="標楷體" w:cs="Arial" w:hint="eastAsia"/>
                <w:bCs/>
                <w:kern w:val="0"/>
              </w:rPr>
              <w:t>能力、性向、興趣與價值觀</w:t>
            </w:r>
            <w:r w:rsidRPr="004B4E3C">
              <w:rPr>
                <w:rFonts w:ascii="標楷體" w:eastAsia="標楷體" w:hAnsi="標楷體" w:cs="Arial" w:hint="eastAsia"/>
                <w:kern w:val="0"/>
              </w:rPr>
              <w:t>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contextualSpacing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 w:rsidRPr="004B4E3C">
              <w:rPr>
                <w:rFonts w:ascii="標楷體" w:eastAsia="標楷體" w:hAnsi="標楷體" w:cs="Arial" w:hint="eastAsia"/>
                <w:kern w:val="0"/>
                <w:lang w:eastAsia="zh-HK"/>
              </w:rPr>
              <w:t>個人有何職業取向？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 w:rsidRPr="004B4E3C">
              <w:rPr>
                <w:rFonts w:ascii="標楷體" w:eastAsia="標楷體" w:hAnsi="標楷體" w:hint="eastAsia"/>
              </w:rPr>
              <w:t>青少年</w:t>
            </w:r>
            <w:r w:rsidRPr="004B4E3C">
              <w:rPr>
                <w:rFonts w:ascii="標楷體" w:eastAsia="標楷體" w:hAnsi="標楷體" w:cs="Arial" w:hint="eastAsia"/>
                <w:kern w:val="0"/>
                <w:lang w:eastAsia="zh-HK"/>
              </w:rPr>
              <w:t>需具備何等素質以提升社會流動性?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contextualSpacing/>
              <w:jc w:val="both"/>
              <w:rPr>
                <w:rFonts w:ascii="標楷體" w:eastAsia="標楷體" w:hAnsi="標楷體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lang w:eastAsia="zh-HK"/>
              </w:rPr>
              <w:t>本港經濟有何特點與模式，因而產生「橋型工種」的現象？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contextualSpacing/>
              <w:jc w:val="both"/>
              <w:rPr>
                <w:rFonts w:ascii="標楷體" w:eastAsia="標楷體" w:hAnsi="標楷體"/>
                <w:lang w:eastAsia="zh-HK"/>
              </w:rPr>
            </w:pPr>
            <w:r w:rsidRPr="004B4E3C">
              <w:rPr>
                <w:rFonts w:ascii="標楷體" w:eastAsia="標楷體" w:hAnsi="標楷體" w:hint="eastAsia"/>
              </w:rPr>
              <w:t>個人有何特質，擁有何等類型工種的傾向？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4B4E3C">
              <w:rPr>
                <w:rFonts w:ascii="標楷體" w:eastAsia="標楷體" w:hAnsi="標楷體" w:hint="eastAsia"/>
              </w:rPr>
              <w:t>個人具備的素質能否回應社會發展的訴求？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lang w:eastAsia="zh-HK"/>
              </w:rPr>
              <w:t>中港關係有何影響個人未來發展的因素？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bCs/>
                <w:kern w:val="36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</w:rPr>
              <w:t>到內地升學或就業對青少年利多於弊？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bCs/>
                <w:kern w:val="36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</w:rPr>
              <w:t>全球化如何促使本港</w:t>
            </w:r>
            <w:r w:rsidRPr="004B4E3C">
              <w:rPr>
                <w:rFonts w:ascii="標楷體" w:eastAsia="標楷體" w:hAnsi="標楷體" w:hint="eastAsia"/>
                <w:lang w:eastAsia="zh-HK"/>
              </w:rPr>
              <w:t>「橋型工種」的變化？</w:t>
            </w:r>
          </w:p>
          <w:p w:rsidR="00D42ED3" w:rsidRPr="004B4E3C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bCs/>
                <w:kern w:val="36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</w:rPr>
              <w:t>全球化下本港青少年生涯規劃的機遇大於挑戰？</w:t>
            </w:r>
          </w:p>
          <w:p w:rsidR="00D42ED3" w:rsidRDefault="00D42ED3" w:rsidP="00D42ED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4B4E3C">
              <w:rPr>
                <w:rFonts w:ascii="標楷體" w:eastAsia="標楷體" w:hAnsi="標楷體" w:hint="eastAsia"/>
              </w:rPr>
              <w:t>掌握個人生涯規劃，有助確立人生方向？</w:t>
            </w:r>
          </w:p>
          <w:p w:rsidR="00D42ED3" w:rsidRDefault="00D42ED3" w:rsidP="003F5815">
            <w:pPr>
              <w:jc w:val="both"/>
              <w:rPr>
                <w:rFonts w:ascii="標楷體" w:eastAsia="標楷體" w:hAnsi="標楷體"/>
              </w:rPr>
            </w:pPr>
          </w:p>
          <w:p w:rsidR="00D42ED3" w:rsidRDefault="00D42ED3" w:rsidP="003F5815">
            <w:pPr>
              <w:jc w:val="both"/>
              <w:rPr>
                <w:rFonts w:ascii="標楷體" w:eastAsia="標楷體" w:hAnsi="標楷體"/>
              </w:rPr>
            </w:pPr>
          </w:p>
          <w:p w:rsidR="00D42ED3" w:rsidRDefault="00D42ED3" w:rsidP="003F5815">
            <w:pPr>
              <w:jc w:val="both"/>
              <w:rPr>
                <w:rFonts w:ascii="標楷體" w:eastAsia="標楷體" w:hAnsi="標楷體"/>
              </w:rPr>
            </w:pPr>
          </w:p>
          <w:p w:rsidR="00D42ED3" w:rsidRDefault="00D42ED3" w:rsidP="003F5815">
            <w:pPr>
              <w:jc w:val="both"/>
              <w:rPr>
                <w:rFonts w:ascii="標楷體" w:eastAsia="標楷體" w:hAnsi="標楷體"/>
              </w:rPr>
            </w:pPr>
          </w:p>
          <w:p w:rsidR="00D42ED3" w:rsidRPr="004B4E3C" w:rsidRDefault="00D42ED3" w:rsidP="003F581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42ED3" w:rsidRDefault="00D42ED3" w:rsidP="00D42ED3">
      <w:pPr>
        <w:jc w:val="both"/>
        <w:rPr>
          <w:rFonts w:ascii="標楷體" w:eastAsia="標楷體" w:hAnsi="標楷體"/>
          <w:szCs w:val="24"/>
        </w:rPr>
      </w:pPr>
    </w:p>
    <w:p w:rsidR="00D42ED3" w:rsidRDefault="00D42ED3">
      <w:pPr>
        <w:widowControl/>
        <w:spacing w:after="200"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42ED3" w:rsidRPr="00BD5D36" w:rsidRDefault="00D42ED3" w:rsidP="00D42ED3">
      <w:pPr>
        <w:jc w:val="both"/>
        <w:rPr>
          <w:rFonts w:ascii="標楷體" w:eastAsia="標楷體" w:hAnsi="標楷體"/>
          <w:szCs w:val="24"/>
        </w:rPr>
      </w:pPr>
      <w:r w:rsidRPr="00BD5D36">
        <w:rPr>
          <w:rFonts w:ascii="標楷體" w:eastAsia="標楷體" w:hAnsi="標楷體" w:hint="eastAsia"/>
          <w:szCs w:val="24"/>
        </w:rPr>
        <w:lastRenderedPageBreak/>
        <w:t>附件二：教學設計大綱</w:t>
      </w:r>
      <w:r w:rsidRPr="00BD5D36">
        <w:rPr>
          <w:rFonts w:ascii="標楷體" w:eastAsia="標楷體" w:hAnsi="標楷體" w:hint="eastAsia"/>
          <w:szCs w:val="24"/>
          <w:lang w:eastAsia="zh-HK"/>
        </w:rPr>
        <w:t xml:space="preserve">  </w:t>
      </w:r>
      <w:r w:rsidRPr="00F33296">
        <w:rPr>
          <w:rFonts w:ascii="標楷體" w:eastAsia="標楷體" w:hAnsi="標楷體" w:hint="eastAsia"/>
          <w:szCs w:val="24"/>
          <w:lang w:eastAsia="zh-HK"/>
        </w:rPr>
        <w:t>(</w:t>
      </w:r>
      <w:r w:rsidRPr="00F33296">
        <w:rPr>
          <w:rFonts w:ascii="標楷體" w:eastAsia="標楷體" w:hAnsi="標楷體" w:hint="eastAsia"/>
          <w:szCs w:val="24"/>
        </w:rPr>
        <w:t>五節各八十分鐘課堂學習</w:t>
      </w:r>
      <w:r w:rsidRPr="00BD5D36">
        <w:rPr>
          <w:rFonts w:ascii="標楷體" w:eastAsia="標楷體" w:hAnsi="標楷體" w:hint="eastAsia"/>
          <w:szCs w:val="24"/>
          <w:lang w:eastAsia="zh-HK"/>
        </w:rPr>
        <w:t>)</w:t>
      </w:r>
      <w:r w:rsidRPr="00BD5D36">
        <w:rPr>
          <w:rFonts w:ascii="標楷體" w:eastAsia="標楷體" w:hAnsi="標楷體"/>
          <w:szCs w:val="24"/>
        </w:rPr>
        <w:t xml:space="preserve">     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4394"/>
        <w:gridCol w:w="1417"/>
        <w:gridCol w:w="1300"/>
        <w:gridCol w:w="1536"/>
      </w:tblGrid>
      <w:tr w:rsidR="00D42ED3" w:rsidRPr="004B4E3C" w:rsidTr="003F5815">
        <w:trPr>
          <w:trHeight w:val="399"/>
        </w:trPr>
        <w:tc>
          <w:tcPr>
            <w:tcW w:w="2376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proofErr w:type="gramStart"/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課節議題</w:t>
            </w:r>
            <w:proofErr w:type="gramEnd"/>
          </w:p>
        </w:tc>
        <w:tc>
          <w:tcPr>
            <w:tcW w:w="3544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導引問題</w:t>
            </w:r>
          </w:p>
        </w:tc>
        <w:tc>
          <w:tcPr>
            <w:tcW w:w="4394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建構活動</w:t>
            </w:r>
          </w:p>
        </w:tc>
        <w:tc>
          <w:tcPr>
            <w:tcW w:w="1417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知識/概念</w:t>
            </w:r>
          </w:p>
        </w:tc>
        <w:tc>
          <w:tcPr>
            <w:tcW w:w="1300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共通能力</w:t>
            </w:r>
          </w:p>
        </w:tc>
        <w:tc>
          <w:tcPr>
            <w:tcW w:w="1536" w:type="dxa"/>
            <w:vAlign w:val="center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態度/價值觀</w:t>
            </w:r>
          </w:p>
        </w:tc>
      </w:tr>
      <w:tr w:rsidR="00D42ED3" w:rsidRPr="004B4E3C" w:rsidTr="003F5815">
        <w:trPr>
          <w:trHeight w:val="1250"/>
        </w:trPr>
        <w:tc>
          <w:tcPr>
            <w:tcW w:w="2376" w:type="dxa"/>
          </w:tcPr>
          <w:p w:rsidR="00D42ED3" w:rsidRPr="004B4E3C" w:rsidRDefault="00D42ED3" w:rsidP="00D42ED3">
            <w:pPr>
              <w:numPr>
                <w:ilvl w:val="1"/>
                <w:numId w:val="3"/>
              </w:numPr>
              <w:spacing w:line="300" w:lineRule="exact"/>
              <w:ind w:left="426" w:hanging="426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青少年</w:t>
            </w:r>
            <w:r w:rsidRPr="004B4E3C">
              <w:rPr>
                <w:rFonts w:ascii="標楷體" w:eastAsia="標楷體" w:hAnsi="標楷體" w:cs="Arial" w:hint="eastAsia"/>
                <w:kern w:val="0"/>
                <w:sz w:val="21"/>
                <w:szCs w:val="21"/>
                <w:lang w:eastAsia="zh-HK"/>
              </w:rPr>
              <w:t>需具備何等素質以提升社會流動性?</w:t>
            </w:r>
          </w:p>
          <w:p w:rsidR="00D42ED3" w:rsidRPr="004B4E3C" w:rsidRDefault="00D42ED3" w:rsidP="003F5815">
            <w:pPr>
              <w:spacing w:line="300" w:lineRule="exact"/>
              <w:ind w:left="480"/>
              <w:contextualSpacing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</w:p>
          <w:p w:rsidR="00D42ED3" w:rsidRPr="004B4E3C" w:rsidRDefault="00D42ED3" w:rsidP="003F5815">
            <w:pPr>
              <w:spacing w:line="300" w:lineRule="exact"/>
              <w:ind w:left="426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544" w:type="dxa"/>
          </w:tcPr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ind w:left="318" w:hanging="284"/>
              <w:contextualSpacing/>
              <w:jc w:val="both"/>
              <w:rPr>
                <w:rFonts w:ascii="標楷體" w:eastAsia="標楷體" w:hAnsi="標楷體" w:cs="Arial"/>
                <w:kern w:val="0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個人有何</w:t>
            </w:r>
            <w:r w:rsidRPr="004B4E3C">
              <w:rPr>
                <w:rFonts w:ascii="標楷體" w:eastAsia="標楷體" w:hAnsi="標楷體" w:cs="Arial" w:hint="eastAsia"/>
                <w:bCs/>
                <w:kern w:val="0"/>
                <w:sz w:val="21"/>
                <w:szCs w:val="21"/>
              </w:rPr>
              <w:t>能力、性向、興趣與價值觀</w:t>
            </w:r>
            <w:r w:rsidRPr="004B4E3C">
              <w:rPr>
                <w:rFonts w:ascii="標楷體" w:eastAsia="標楷體" w:hAnsi="標楷體" w:cs="Arial" w:hint="eastAsia"/>
                <w:kern w:val="0"/>
                <w:sz w:val="21"/>
                <w:szCs w:val="21"/>
              </w:rPr>
              <w:t>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ind w:left="318" w:hanging="284"/>
              <w:contextualSpacing/>
              <w:jc w:val="both"/>
              <w:rPr>
                <w:rFonts w:ascii="標楷體" w:eastAsia="標楷體" w:hAnsi="標楷體" w:cs="Arial"/>
                <w:kern w:val="0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cs="Arial" w:hint="eastAsia"/>
                <w:kern w:val="0"/>
                <w:sz w:val="21"/>
                <w:szCs w:val="21"/>
                <w:lang w:eastAsia="zh-HK"/>
              </w:rPr>
              <w:t>個人有何職業取向？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ind w:left="318" w:hanging="284"/>
              <w:contextualSpacing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青少年</w:t>
            </w:r>
            <w:r w:rsidRPr="004B4E3C">
              <w:rPr>
                <w:rFonts w:ascii="標楷體" w:eastAsia="標楷體" w:hAnsi="標楷體" w:cs="Arial" w:hint="eastAsia"/>
                <w:kern w:val="0"/>
                <w:sz w:val="21"/>
                <w:szCs w:val="21"/>
                <w:lang w:eastAsia="zh-HK"/>
              </w:rPr>
              <w:t>需具備何等素質以提升社會流動性?</w:t>
            </w:r>
          </w:p>
        </w:tc>
        <w:tc>
          <w:tcPr>
            <w:tcW w:w="4394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proofErr w:type="gramStart"/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完成前測問卷</w:t>
            </w:r>
            <w:proofErr w:type="gramEnd"/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；派發</w:t>
            </w:r>
            <w:r w:rsidRPr="004B4E3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學生學習紀錄卡</w:t>
            </w: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；簡介課程重點；訂立獎勵機制；訂立學習目標及重點學習議題：「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掌握生涯規劃有助青少年在社會的流動力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/</w:t>
            </w:r>
            <w:proofErr w:type="gramStart"/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抗逆力</w:t>
            </w:r>
            <w:proofErr w:type="gramEnd"/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? 」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以</w:t>
            </w:r>
            <w:r w:rsidRPr="004B4E3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個性測量(WS1)</w:t>
            </w: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及</w:t>
            </w:r>
            <w:r w:rsidRPr="004B4E3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價值標購活動(WS2)</w:t>
            </w: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>對自身及社會不同的角色作深入的瞭解，探究個人素質與本港社會流動的關係</w:t>
            </w:r>
          </w:p>
        </w:tc>
        <w:tc>
          <w:tcPr>
            <w:tcW w:w="1417" w:type="dxa"/>
          </w:tcPr>
          <w:p w:rsidR="00D42ED3" w:rsidRPr="004B4E3C" w:rsidRDefault="00D42ED3" w:rsidP="00D42ED3">
            <w:pPr>
              <w:spacing w:line="300" w:lineRule="exact"/>
              <w:ind w:leftChars="6" w:left="329" w:hangingChars="150" w:hanging="315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(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知己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)</w:t>
            </w:r>
          </w:p>
          <w:p w:rsidR="00D42ED3" w:rsidRPr="004B4E3C" w:rsidRDefault="00D42ED3" w:rsidP="00D42ED3">
            <w:pPr>
              <w:spacing w:line="300" w:lineRule="exact"/>
              <w:ind w:leftChars="6" w:left="329" w:hangingChars="150" w:hanging="315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認識自己</w:t>
            </w:r>
          </w:p>
          <w:p w:rsidR="00D42ED3" w:rsidRPr="004B4E3C" w:rsidRDefault="00D42ED3" w:rsidP="00D42ED3">
            <w:pPr>
              <w:spacing w:line="300" w:lineRule="exact"/>
              <w:ind w:leftChars="6" w:left="329" w:hangingChars="150" w:hanging="315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個人素質</w:t>
            </w:r>
          </w:p>
          <w:p w:rsidR="00D42ED3" w:rsidRPr="004B4E3C" w:rsidRDefault="00D42ED3" w:rsidP="00D42ED3">
            <w:pPr>
              <w:spacing w:line="300" w:lineRule="exact"/>
              <w:ind w:leftChars="6" w:left="329" w:hangingChars="150" w:hanging="315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社會流動</w:t>
            </w:r>
          </w:p>
        </w:tc>
        <w:tc>
          <w:tcPr>
            <w:tcW w:w="1300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協作、溝通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反思</w:t>
            </w:r>
          </w:p>
        </w:tc>
        <w:tc>
          <w:tcPr>
            <w:tcW w:w="1536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自尊、自信、角色、身份認同、願景</w:t>
            </w:r>
          </w:p>
        </w:tc>
      </w:tr>
      <w:tr w:rsidR="00D42ED3" w:rsidRPr="004B4E3C" w:rsidTr="003F5815">
        <w:trPr>
          <w:trHeight w:val="1550"/>
        </w:trPr>
        <w:tc>
          <w:tcPr>
            <w:tcW w:w="2376" w:type="dxa"/>
          </w:tcPr>
          <w:p w:rsidR="00D42ED3" w:rsidRPr="004B4E3C" w:rsidRDefault="00D42ED3" w:rsidP="00D42ED3">
            <w:pPr>
              <w:numPr>
                <w:ilvl w:val="0"/>
                <w:numId w:val="3"/>
              </w:numPr>
              <w:spacing w:line="300" w:lineRule="exact"/>
              <w:ind w:left="426" w:hanging="426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個人具備的素質能否回應社會發展的訴求？</w:t>
            </w:r>
          </w:p>
          <w:p w:rsidR="00D42ED3" w:rsidRPr="004B4E3C" w:rsidRDefault="00D42ED3" w:rsidP="003F5815">
            <w:pPr>
              <w:spacing w:line="300" w:lineRule="exact"/>
              <w:ind w:left="426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544" w:type="dxa"/>
          </w:tcPr>
          <w:p w:rsidR="00D42ED3" w:rsidRPr="004B4E3C" w:rsidRDefault="00D42ED3" w:rsidP="00D42ED3">
            <w:pPr>
              <w:numPr>
                <w:ilvl w:val="0"/>
                <w:numId w:val="2"/>
              </w:numPr>
              <w:contextualSpacing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本港經濟有何特點與模式，因而產生「橋型工種」的現象？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contextualSpacing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個人有何特質，擁有何等類型工種的傾向？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個人具備的素質能否回應社會發展的訴求？</w:t>
            </w:r>
          </w:p>
        </w:tc>
        <w:tc>
          <w:tcPr>
            <w:tcW w:w="4394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以短片反映本港青少年面對出路與就業問題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出現四類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人力資源與價值追求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透過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生活價值追求我有SAY</w:t>
            </w:r>
            <w:r w:rsidRPr="004B4E3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(WS3)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遊戲掌握所處境況，個人抉擇影響社會的流動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以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僱員僱主角色扮演(WS4)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，拓展多元視域；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透過議題探究個人與社會有何發展訴求</w:t>
            </w:r>
          </w:p>
        </w:tc>
        <w:tc>
          <w:tcPr>
            <w:tcW w:w="1417" w:type="dxa"/>
            <w:vMerge w:val="restart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(</w:t>
            </w:r>
            <w:proofErr w:type="gramStart"/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知彼</w:t>
            </w:r>
            <w:proofErr w:type="gramEnd"/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)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認識本港、國家與全球化、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系統、資歷架構、社會競爭力、人力資源類別、生活價值追求、流動、機遇、挑戰、專才、通才、勞動力、隱蔽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青年</w:t>
            </w:r>
          </w:p>
        </w:tc>
        <w:tc>
          <w:tcPr>
            <w:tcW w:w="1300" w:type="dxa"/>
            <w:vMerge w:val="restart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協作、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溝通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創造、抉擇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解決困難、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批判性思考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資訊科技運用、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關聯、變通、面對衝突</w:t>
            </w:r>
          </w:p>
        </w:tc>
        <w:tc>
          <w:tcPr>
            <w:tcW w:w="1536" w:type="dxa"/>
            <w:vMerge w:val="restart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專注、彈性、變、尊重、多樣性、規律、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國民身分認同、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責任承擔、抱負</w:t>
            </w:r>
          </w:p>
        </w:tc>
      </w:tr>
      <w:tr w:rsidR="00D42ED3" w:rsidRPr="004B4E3C" w:rsidTr="003F5815">
        <w:trPr>
          <w:trHeight w:val="1295"/>
        </w:trPr>
        <w:tc>
          <w:tcPr>
            <w:tcW w:w="2376" w:type="dxa"/>
          </w:tcPr>
          <w:p w:rsidR="00D42ED3" w:rsidRPr="004B4E3C" w:rsidRDefault="00D42ED3" w:rsidP="00D42ED3">
            <w:pPr>
              <w:numPr>
                <w:ilvl w:val="0"/>
                <w:numId w:val="3"/>
              </w:numPr>
              <w:spacing w:line="300" w:lineRule="exact"/>
              <w:ind w:left="426" w:hanging="426"/>
              <w:contextualSpacing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  <w:sz w:val="21"/>
                <w:szCs w:val="21"/>
              </w:rPr>
              <w:t>全球化下本港青少年生涯規劃的機遇大於挑戰？</w:t>
            </w:r>
          </w:p>
        </w:tc>
        <w:tc>
          <w:tcPr>
            <w:tcW w:w="3544" w:type="dxa"/>
          </w:tcPr>
          <w:p w:rsidR="00D42ED3" w:rsidRPr="004B4E3C" w:rsidRDefault="00D42ED3" w:rsidP="00D42ED3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標楷體" w:eastAsia="標楷體" w:hAnsi="標楷體" w:cs="新細明體"/>
                <w:bCs/>
                <w:kern w:val="36"/>
                <w:sz w:val="21"/>
                <w:szCs w:val="21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  <w:sz w:val="21"/>
                <w:szCs w:val="21"/>
              </w:rPr>
              <w:t>全球化如何促使本港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人力資源與價值追求的變化？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標楷體" w:eastAsia="標楷體" w:hAnsi="標楷體" w:cs="新細明體"/>
                <w:bCs/>
                <w:kern w:val="36"/>
                <w:sz w:val="21"/>
                <w:szCs w:val="21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  <w:sz w:val="21"/>
                <w:szCs w:val="21"/>
              </w:rPr>
              <w:t>全球化下本港青少年生涯規劃的機遇大於挑戰？</w:t>
            </w:r>
          </w:p>
        </w:tc>
        <w:tc>
          <w:tcPr>
            <w:tcW w:w="4394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b/>
                <w:bCs/>
                <w:sz w:val="21"/>
                <w:szCs w:val="21"/>
                <w:lang w:eastAsia="zh-HK"/>
              </w:rPr>
              <w:t>全球化知多少小測試(WS5)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b/>
                <w:bCs/>
                <w:sz w:val="21"/>
                <w:szCs w:val="21"/>
                <w:lang w:eastAsia="zh-HK"/>
              </w:rPr>
              <w:t>進出口業工種排序(WS6)</w:t>
            </w: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競技活動，以掌握全球化工種與資歷架構的關係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模擬全球化</w:t>
            </w:r>
            <w:proofErr w:type="spellStart"/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i</w:t>
            </w:r>
            <w:proofErr w:type="spellEnd"/>
            <w:r w:rsidRPr="004B4E3C">
              <w:rPr>
                <w:rFonts w:ascii="標楷體" w:eastAsia="標楷體" w:hAnsi="標楷體"/>
                <w:b/>
                <w:sz w:val="21"/>
                <w:szCs w:val="21"/>
              </w:rPr>
              <w:t>-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phone生產(WS7)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境況，以了解工種的特質與人才的需求</w:t>
            </w:r>
          </w:p>
        </w:tc>
        <w:tc>
          <w:tcPr>
            <w:tcW w:w="1417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00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36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</w:p>
        </w:tc>
      </w:tr>
      <w:tr w:rsidR="00D42ED3" w:rsidRPr="004B4E3C" w:rsidTr="003F5815">
        <w:tc>
          <w:tcPr>
            <w:tcW w:w="2376" w:type="dxa"/>
          </w:tcPr>
          <w:p w:rsidR="00D42ED3" w:rsidRPr="004B4E3C" w:rsidRDefault="00D42ED3" w:rsidP="00D42ED3">
            <w:pPr>
              <w:numPr>
                <w:ilvl w:val="0"/>
                <w:numId w:val="3"/>
              </w:numPr>
              <w:spacing w:line="300" w:lineRule="exact"/>
              <w:ind w:left="426" w:hanging="426"/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  <w:sz w:val="21"/>
                <w:szCs w:val="21"/>
              </w:rPr>
              <w:t>國家進一步改革開放有多大程度影響本港青少年生涯規劃？</w:t>
            </w:r>
          </w:p>
        </w:tc>
        <w:tc>
          <w:tcPr>
            <w:tcW w:w="3544" w:type="dxa"/>
          </w:tcPr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ind w:left="318" w:hanging="284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中港關係有何影響個人未來發展的因素？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ind w:left="318" w:hanging="284"/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4B4E3C">
              <w:rPr>
                <w:rFonts w:ascii="標楷體" w:eastAsia="標楷體" w:hAnsi="標楷體" w:cs="新細明體" w:hint="eastAsia"/>
                <w:bCs/>
                <w:kern w:val="36"/>
                <w:sz w:val="21"/>
                <w:szCs w:val="21"/>
              </w:rPr>
              <w:t>到內地升學或就業對青少年利多於弊？</w:t>
            </w:r>
            <w:r w:rsidRPr="004B4E3C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以中港關係遊戲卡(WS8)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探究以了解兩地政治、經濟、基建、文化及社會的關係</w:t>
            </w:r>
          </w:p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以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論壇(WS9)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形式，提供個案示例，辯論青少年應否到內地升學或就業</w:t>
            </w:r>
          </w:p>
        </w:tc>
        <w:tc>
          <w:tcPr>
            <w:tcW w:w="1417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00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36" w:type="dxa"/>
            <w:vMerge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D42ED3" w:rsidRPr="004B4E3C" w:rsidTr="003F5815">
        <w:trPr>
          <w:trHeight w:val="403"/>
        </w:trPr>
        <w:tc>
          <w:tcPr>
            <w:tcW w:w="2376" w:type="dxa"/>
          </w:tcPr>
          <w:p w:rsidR="00D42ED3" w:rsidRPr="004B4E3C" w:rsidRDefault="00D42ED3" w:rsidP="00D42ED3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掌握個人生涯規劃，有助確立人生方向？</w:t>
            </w:r>
          </w:p>
        </w:tc>
        <w:tc>
          <w:tcPr>
            <w:tcW w:w="3544" w:type="dxa"/>
            <w:shd w:val="clear" w:color="auto" w:fill="auto"/>
          </w:tcPr>
          <w:p w:rsidR="00D42ED3" w:rsidRPr="004B4E3C" w:rsidRDefault="00D42ED3" w:rsidP="00D42ED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個人具備何等條件，成功探險人生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？</w:t>
            </w:r>
          </w:p>
          <w:p w:rsidR="00D42ED3" w:rsidRPr="004B4E3C" w:rsidRDefault="00D42ED3" w:rsidP="00D42ED3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掌握個人生涯規劃，有助確立人生方向？</w:t>
            </w:r>
          </w:p>
        </w:tc>
        <w:tc>
          <w:tcPr>
            <w:tcW w:w="4394" w:type="dxa"/>
            <w:shd w:val="clear" w:color="auto" w:fill="auto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透過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探險人生情景(WS10)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討論，啟發思考與綜合運用課程所得，初步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構思我的藏寶圖(WS11)；</w:t>
            </w:r>
            <w:r w:rsidRPr="004B4E3C">
              <w:rPr>
                <w:rFonts w:ascii="標楷體" w:eastAsia="標楷體" w:hAnsi="標楷體" w:hint="eastAsia"/>
                <w:b/>
                <w:sz w:val="21"/>
                <w:szCs w:val="21"/>
              </w:rPr>
              <w:t>生涯規劃審視與反思(WS12)</w:t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，確立人生方向？</w:t>
            </w:r>
          </w:p>
        </w:tc>
        <w:tc>
          <w:tcPr>
            <w:tcW w:w="1417" w:type="dxa"/>
            <w:shd w:val="clear" w:color="auto" w:fill="auto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(抉擇)</w:t>
            </w:r>
            <w:r w:rsidRPr="004B4E3C">
              <w:rPr>
                <w:rFonts w:ascii="標楷體" w:eastAsia="標楷體" w:hAnsi="標楷體"/>
                <w:sz w:val="21"/>
                <w:szCs w:val="21"/>
              </w:rPr>
              <w:br/>
            </w: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生涯規劃、內因</w:t>
            </w:r>
            <w:proofErr w:type="gramStart"/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與外因</w:t>
            </w:r>
            <w:proofErr w:type="gramEnd"/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、探究與規劃人生</w:t>
            </w:r>
          </w:p>
        </w:tc>
        <w:tc>
          <w:tcPr>
            <w:tcW w:w="1300" w:type="dxa"/>
            <w:shd w:val="clear" w:color="auto" w:fill="auto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B4E3C">
              <w:rPr>
                <w:rFonts w:ascii="標楷體" w:eastAsia="標楷體" w:hAnsi="標楷體" w:hint="eastAsia"/>
                <w:sz w:val="21"/>
                <w:szCs w:val="21"/>
              </w:rPr>
              <w:t>批判性思考解決困難、綜合、反思、應用、規劃</w:t>
            </w:r>
          </w:p>
        </w:tc>
        <w:tc>
          <w:tcPr>
            <w:tcW w:w="1536" w:type="dxa"/>
            <w:shd w:val="clear" w:color="auto" w:fill="auto"/>
          </w:tcPr>
          <w:p w:rsidR="00D42ED3" w:rsidRPr="004B4E3C" w:rsidRDefault="00D42ED3" w:rsidP="003F5815">
            <w:pPr>
              <w:spacing w:line="3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自強不息、變通、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抗逆力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、社會承擔、潛能發揮</w:t>
            </w:r>
          </w:p>
        </w:tc>
      </w:tr>
    </w:tbl>
    <w:p w:rsidR="00681689" w:rsidRDefault="00681689"/>
    <w:sectPr w:rsidR="00681689" w:rsidSect="00D42E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BF7"/>
    <w:multiLevelType w:val="hybridMultilevel"/>
    <w:tmpl w:val="4442F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C93164"/>
    <w:multiLevelType w:val="hybridMultilevel"/>
    <w:tmpl w:val="271E11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9117746"/>
    <w:multiLevelType w:val="hybridMultilevel"/>
    <w:tmpl w:val="2094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D3"/>
    <w:rsid w:val="00681689"/>
    <w:rsid w:val="00D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D3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D3"/>
    <w:rPr>
      <w:rFonts w:ascii="Tahoma" w:eastAsia="新細明體" w:hAnsi="Tahoma" w:cs="Tahoma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D3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D3"/>
    <w:rPr>
      <w:rFonts w:ascii="Tahoma" w:eastAsia="新細明體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Michael CHENG</dc:creator>
  <cp:lastModifiedBy>Mr. Michael CHENG</cp:lastModifiedBy>
  <cp:revision>1</cp:revision>
  <dcterms:created xsi:type="dcterms:W3CDTF">2017-05-18T03:11:00Z</dcterms:created>
  <dcterms:modified xsi:type="dcterms:W3CDTF">2017-05-18T03:14:00Z</dcterms:modified>
</cp:coreProperties>
</file>